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工农区卫生监督和健康服务中心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2022年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工农区卫生监督和健康服务中心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坚持推广政府信息公开工作，提高服务效能，更好地服务辖区群众。坚持为民宗旨，不断延展政务公开覆盖面。提高基层政务公开实效性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进一步深化政务公开改革，加快政务公开频次，优化政务公开形式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报告中所列数据的统计期限为2022年1月1日至12月31日。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84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84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820"/>
        <w:gridCol w:w="2798"/>
        <w:gridCol w:w="598"/>
        <w:gridCol w:w="598"/>
        <w:gridCol w:w="598"/>
        <w:gridCol w:w="598"/>
        <w:gridCol w:w="598"/>
        <w:gridCol w:w="598"/>
        <w:gridCol w:w="5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8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jc w:val="both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single" w:color="auto" w:sz="4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nil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>
            <w:pPr>
              <w:ind w:firstLine="416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</w:p>
          <w:p>
            <w:pPr>
              <w:ind w:firstLine="221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8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outlineLvl w:val="9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9"/>
        <w:tblW w:w="8522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567"/>
        <w:gridCol w:w="568"/>
        <w:gridCol w:w="568"/>
        <w:gridCol w:w="567"/>
        <w:gridCol w:w="568"/>
        <w:gridCol w:w="567"/>
        <w:gridCol w:w="569"/>
        <w:gridCol w:w="568"/>
        <w:gridCol w:w="569"/>
        <w:gridCol w:w="569"/>
        <w:gridCol w:w="568"/>
        <w:gridCol w:w="569"/>
        <w:gridCol w:w="569"/>
        <w:gridCol w:w="5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  <w:rPr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jc w:val="center"/>
              <w:textAlignment w:val="auto"/>
              <w:outlineLvl w:val="9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目前，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工农区卫生监督和健康服务中心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在政府信息公开方面的困难和问题主要在于缺乏专业人员。将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继续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加强人员素质的培训，提高政府信息公开工作。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42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暂无其他需要报告的事项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40A9"/>
    <w:rsid w:val="00DF1F78"/>
    <w:rsid w:val="019B2C25"/>
    <w:rsid w:val="022B595C"/>
    <w:rsid w:val="04096913"/>
    <w:rsid w:val="04636029"/>
    <w:rsid w:val="0BEB01FA"/>
    <w:rsid w:val="0C725969"/>
    <w:rsid w:val="114B0CA8"/>
    <w:rsid w:val="15D827BE"/>
    <w:rsid w:val="19823BEE"/>
    <w:rsid w:val="1FD91A11"/>
    <w:rsid w:val="2CC32635"/>
    <w:rsid w:val="2EEA08A0"/>
    <w:rsid w:val="35AC297D"/>
    <w:rsid w:val="37F67806"/>
    <w:rsid w:val="3F941CB6"/>
    <w:rsid w:val="421C7600"/>
    <w:rsid w:val="449E3D42"/>
    <w:rsid w:val="488177D5"/>
    <w:rsid w:val="54E1543B"/>
    <w:rsid w:val="55346772"/>
    <w:rsid w:val="559A7651"/>
    <w:rsid w:val="57176C79"/>
    <w:rsid w:val="58151EA2"/>
    <w:rsid w:val="5B0023E6"/>
    <w:rsid w:val="5C7240A9"/>
    <w:rsid w:val="5D0C18E7"/>
    <w:rsid w:val="5D7F4A91"/>
    <w:rsid w:val="6186519B"/>
    <w:rsid w:val="69A019C2"/>
    <w:rsid w:val="6B165D58"/>
    <w:rsid w:val="6C205DCF"/>
    <w:rsid w:val="6DB47718"/>
    <w:rsid w:val="714A235F"/>
    <w:rsid w:val="728032A1"/>
    <w:rsid w:val="7569626A"/>
    <w:rsid w:val="772C4BE5"/>
    <w:rsid w:val="77371877"/>
    <w:rsid w:val="79E812BF"/>
    <w:rsid w:val="7C2A7967"/>
    <w:rsid w:val="7EC0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customStyle="1" w:styleId="10">
    <w:name w:val="active1"/>
    <w:basedOn w:val="5"/>
    <w:qFormat/>
    <w:uiPriority w:val="0"/>
    <w:rPr>
      <w:b/>
      <w:bCs/>
      <w:color w:val="347ED4"/>
    </w:rPr>
  </w:style>
  <w:style w:type="character" w:customStyle="1" w:styleId="11">
    <w:name w:val="disabled"/>
    <w:basedOn w:val="5"/>
    <w:qFormat/>
    <w:uiPriority w:val="0"/>
    <w:rPr>
      <w:color w:val="FFE3C6"/>
      <w:bdr w:val="single" w:color="FFE3C6" w:sz="6" w:space="0"/>
    </w:rPr>
  </w:style>
  <w:style w:type="character" w:customStyle="1" w:styleId="12">
    <w:name w:val="current"/>
    <w:basedOn w:val="5"/>
    <w:qFormat/>
    <w:uiPriority w:val="0"/>
    <w:rPr>
      <w:b/>
      <w:bCs/>
      <w:color w:val="FF6500"/>
      <w:bdr w:val="single" w:color="FF6500" w:sz="6" w:space="0"/>
      <w:shd w:val="clear" w:fill="FFBE94"/>
    </w:rPr>
  </w:style>
  <w:style w:type="character" w:customStyle="1" w:styleId="13">
    <w:name w:val="bsharetex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4161</Words>
  <Characters>4200</Characters>
  <Lines>0</Lines>
  <Paragraphs>0</Paragraphs>
  <TotalTime>5</TotalTime>
  <ScaleCrop>false</ScaleCrop>
  <LinksUpToDate>false</LinksUpToDate>
  <CharactersWithSpaces>4416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2022-01-04T09:22:00Z</dcterms:created>
  <dc:creator>梓绘圆】</dc:creator>
  <cp:lastModifiedBy>Administrator</cp:lastModifiedBy>
  <cp:lastPrinted>2023-02-01T01:34:00Z</cp:lastPrinted>
  <dcterms:modified xsi:type="dcterms:W3CDTF">2023-02-02T01:38:54Z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F6F09E0DB6154169A3D99D38F9C9AA75</vt:lpwstr>
  </property>
</Properties>
</file>